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jpg" ContentType="image/jpeg"/>
  <Override PartName="/word/media/rId28.jpg" ContentType="image/jpeg"/>
  <Override PartName="/word/media/rId46.png" ContentType="image/png"/>
  <Override PartName="/word/media/rId43.jpg" ContentType="image/jpeg"/>
  <Override PartName="/word/media/rId44.jpg" ContentType="image/jpeg"/>
  <Override PartName="/word/media/rId33.jpg" ContentType="image/jpeg"/>
  <Override PartName="/word/media/rId32.jpg" ContentType="image/jpeg"/>
  <Override PartName="/word/media/rId35.png" ContentType="image/png"/>
  <Override PartName="/word/media/rId51.png" ContentType="image/png"/>
  <Override PartName="/word/media/rId50.png" ContentType="image/png"/>
  <Override PartName="/word/media/rId52.png" ContentType="image/png"/>
  <Override PartName="/word/media/image4.jpg" ContentType="image/jpeg"/>
  <Override PartName="/word/media/image3.jpg" ContentType="image/jpeg"/>
  <Override PartName="/word/media/image1.png" ContentType="image/png"/>
  <Override PartName="/word/media/image5.jpg" ContentType="image/jpeg"/>
  <Override PartName="/word/media/image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Context</w:t>
      </w:r>
    </w:p>
    <w:p>
      <w:pPr>
        <w:pStyle w:val="Author"/>
      </w:pPr>
      <w:r>
        <w:t xml:space="preserve">Till</w:t>
      </w:r>
      <w:r>
        <w:t xml:space="preserve"> </w:t>
      </w:r>
      <w:r>
        <w:t xml:space="preserve">Grallert</w:t>
      </w:r>
    </w:p>
    <w:p>
      <w:pPr>
        <w:pStyle w:val="Date"/>
      </w:pPr>
    </w:p>
    <w:p>
      <w:pPr>
        <w:pStyle w:val="Heading2"/>
      </w:pPr>
      <w:bookmarkStart w:id="20" w:name="title"/>
      <w:r>
        <w:t xml:space="preserve">Title:</w:t>
      </w:r>
      <w:bookmarkEnd w:id="20"/>
    </w:p>
    <w:p>
      <w:pPr>
        <w:pStyle w:val="Heading3"/>
      </w:pPr>
      <w:bookmarkStart w:id="21" w:name="till-grallert-orient-institut-beirut"/>
      <w:r>
        <w:t xml:space="preserve">Till Grallert, Orient-Institut Beirut</w:t>
      </w:r>
      <w:bookmarkEnd w:id="21"/>
    </w:p>
    <w:p>
      <w:pPr>
        <w:pStyle w:val="Heading3"/>
      </w:pPr>
      <w:bookmarkStart w:id="22" w:name="date-context"/>
      <w:r>
        <w:t xml:space="preserve">Date, Context</w:t>
      </w:r>
      <w:bookmarkEnd w:id="22"/>
    </w:p>
    <w:p>
      <w:pPr>
        <w:pStyle w:val="FirstParagraph"/>
      </w:pPr>
      <w:r>
        <w:t xml:space="preserve">Slides:</w:t>
      </w:r>
      <w:r>
        <w:t xml:space="preserve"> </w:t>
      </w:r>
      <w:hyperlink r:id="rId23">
        <w:r>
          <w:rPr>
            <w:rStyle w:val="Hyperlink"/>
          </w:rPr>
          <w:t xml:space="preserve">tillgrallert.github.io/Slides/name</w:t>
        </w:r>
      </w:hyperlink>
    </w:p>
    <w:p>
      <w:pPr>
        <w:pStyle w:val="BodyText"/>
      </w:pPr>
      <w:r>
        <w:t xml:space="preserve">Twitter: @</w:t>
      </w:r>
      <w:hyperlink r:id="rId24">
        <w:r>
          <w:rPr>
            <w:rStyle w:val="Hyperlink"/>
          </w:rPr>
          <w:t xml:space="preserve">tillgrallert</w:t>
        </w:r>
      </w:hyperlink>
    </w:p>
    <w:p>
      <w:pPr>
        <w:pStyle w:val="BodyText"/>
      </w:pPr>
      <w:r>
        <w:t xml:space="preserve">Email:</w:t>
      </w:r>
      <w:r>
        <w:t xml:space="preserve"> </w:t>
      </w:r>
      <w:hyperlink r:id="rId25">
        <w:r>
          <w:rPr>
            <w:rStyle w:val="Hyperlink"/>
          </w:rPr>
          <w:t xml:space="preserve">grallert@orient-institut.org</w:t>
        </w:r>
      </w:hyperlink>
    </w:p>
    <w:p>
      <w:pPr>
        <w:pStyle w:val="Heading2"/>
      </w:pPr>
      <w:bookmarkStart w:id="26" w:name="outline-of-todays-talk"/>
      <w:r>
        <w:t xml:space="preserve">Outline of today’s talk</w:t>
      </w:r>
      <w:bookmarkEnd w:id="26"/>
    </w:p>
    <w:p>
      <w:pPr>
        <w:pStyle w:val="Compact"/>
        <w:numPr>
          <w:numId w:val="1001"/>
          <w:ilvl w:val="0"/>
        </w:numPr>
      </w:pPr>
      <w:r>
        <w:t xml:space="preserve">Introduction and story telling</w:t>
      </w:r>
    </w:p>
    <w:p>
      <w:pPr>
        <w:pStyle w:val="Compact"/>
        <w:numPr>
          <w:numId w:val="1001"/>
          <w:ilvl w:val="0"/>
        </w:numPr>
      </w:pPr>
      <w:r>
        <w:t xml:space="preserve">Research question(s) and methodology</w:t>
      </w:r>
    </w:p>
    <w:p>
      <w:pPr>
        <w:pStyle w:val="Compact"/>
        <w:numPr>
          <w:numId w:val="1001"/>
          <w:ilvl w:val="0"/>
        </w:numPr>
      </w:pPr>
      <w:r>
        <w:t xml:space="preserve">Empirical results and argument</w:t>
      </w:r>
    </w:p>
    <w:p>
      <w:pPr>
        <w:pStyle w:val="Compact"/>
        <w:numPr>
          <w:numId w:val="1001"/>
          <w:ilvl w:val="0"/>
        </w:numPr>
      </w:pPr>
      <w:r>
        <w:t xml:space="preserve">Food riots as a repertoire of contention</w:t>
      </w:r>
    </w:p>
    <w:p>
      <w:pPr>
        <w:pStyle w:val="Compact"/>
        <w:numPr>
          <w:numId w:val="1001"/>
          <w:ilvl w:val="0"/>
        </w:numPr>
      </w:pPr>
      <w:r>
        <w:t xml:space="preserve">Conclusion</w:t>
      </w:r>
    </w:p>
    <w:p>
      <w:pPr>
        <w:pStyle w:val="Heading2"/>
      </w:pPr>
      <w:bookmarkStart w:id="27" w:name="food-riot-in-beirut-11-august-1908"/>
      <w:r>
        <w:t xml:space="preserve">1.1 Food riot in Beirut, 11 August 1908</w:t>
      </w:r>
      <w:bookmarkEnd w:id="27"/>
    </w:p>
    <w:p>
      <w:pPr>
        <w:pStyle w:val="CaptionedFigure"/>
      </w:pPr>
      <w:r>
        <w:drawing>
          <wp:inline>
            <wp:extent cx="5969000" cy="4146176"/>
            <wp:effectExtent b="0" l="0" r="0" t="0"/>
            <wp:docPr descr="Map: Wagner &amp; Debes. “Beyrout: Vieille Ville et Bazar.” Palestine and Syria with Routes Through Mesopotamia and Babylonia and the Island of Cyrus: Handbook for Travellers. 1:25000. 5. ed. Leipzig: Karl Baedeker, 1912." title="" id="1" name="Picture"/>
            <a:graphic>
              <a:graphicData uri="http://schemas.openxmlformats.org/drawingml/2006/picture">
                <pic:pic>
                  <pic:nvPicPr>
                    <pic:cNvPr descr="../assets/map_Beirut-Baedeker-1912-annotated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14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Map: Wagner &amp; Debes.</w:t>
      </w:r>
      <w:r>
        <w:t xml:space="preserve"> </w:t>
      </w:r>
      <w:r>
        <w:t xml:space="preserve">“</w:t>
      </w:r>
      <w:r>
        <w:t xml:space="preserve">Beyrout: Vieille Ville et Bazar.</w:t>
      </w:r>
      <w:r>
        <w:t xml:space="preserve">”</w:t>
      </w:r>
      <w:r>
        <w:t xml:space="preserve"> </w:t>
      </w:r>
      <w:r>
        <w:rPr>
          <w:i/>
        </w:rPr>
        <w:t xml:space="preserve">Palestine and Syria with Routes Through Mesopotamia and Babylonia and the Island of Cyrus: Handbook for Travellers.</w:t>
      </w:r>
      <w:r>
        <w:t xml:space="preserve"> </w:t>
      </w:r>
      <w:r>
        <w:t xml:space="preserve">1:25000. 5. ed. Leipzig: Karl Baedeker, 1912.</w:t>
      </w:r>
    </w:p>
    <w:p>
      <w:pPr>
        <w:pStyle w:val="Heading2"/>
      </w:pPr>
      <w:bookmarkStart w:id="29" w:name="food-riot-in-hama-11-august-1910"/>
      <w:r>
        <w:t xml:space="preserve">1.1 Food riot in Hama, 11 August 1910</w:t>
      </w:r>
      <w:bookmarkEnd w:id="29"/>
    </w:p>
    <w:p>
      <w:pPr>
        <w:pStyle w:val="CaptionedFigure"/>
      </w:pPr>
      <w:r>
        <w:drawing>
          <wp:inline>
            <wp:extent cx="5969000" cy="3986490"/>
            <wp:effectExtent b="0" l="0" r="0" t="0"/>
            <wp:docPr descr="Map: Pentz, Peter. The Medieval Citadel and Its Architecture. Hama: fouilles et recherches de la fondation Carlsberg 1931-1938 IV/1. København: Nationalmuseet, 1998" title="" id="1" name="Picture"/>
            <a:graphic>
              <a:graphicData uri="http://schemas.openxmlformats.org/drawingml/2006/picture">
                <pic:pic>
                  <pic:nvPicPr>
                    <pic:cNvPr descr="../assets/map-Hama-marked-up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98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Map: Pentz, Peter.</w:t>
      </w:r>
      <w:r>
        <w:t xml:space="preserve"> </w:t>
      </w:r>
      <w:r>
        <w:rPr>
          <w:i/>
        </w:rPr>
        <w:t xml:space="preserve">The Medieval Citadel and Its Architecture.</w:t>
      </w:r>
      <w:r>
        <w:t xml:space="preserve"> </w:t>
      </w:r>
      <w:r>
        <w:t xml:space="preserve">Hama: fouilles et recherches de la fondation Carlsberg 1931-1938 IV/1. København: Nationalmuseet, 1998</w:t>
      </w:r>
    </w:p>
    <w:p>
      <w:pPr>
        <w:pStyle w:val="Heading2"/>
      </w:pPr>
      <w:bookmarkStart w:id="31" w:name="food-riot-in-hama-11-august-1910-1"/>
      <w:r>
        <w:t xml:space="preserve">1.1 Food riot in Hama, 11 August 1910</w:t>
      </w:r>
      <w:bookmarkEnd w:id="31"/>
    </w:p>
    <w:p>
      <w:pPr>
        <w:pStyle w:val="CaptionedFigure"/>
      </w:pPr>
      <w:r>
        <w:drawing>
          <wp:inline>
            <wp:extent cx="5969000" cy="3897405"/>
            <wp:effectExtent b="0" l="0" r="0" t="0"/>
            <wp:docPr descr="Wattar Frères No. 58. Unknown photographer. Hama (Syrie) - Grand Pont du Fleuve El-Assi. Alep: Wattar Frères (N.D.)." title="" id="1" name="Picture"/>
            <a:graphic>
              <a:graphicData uri="http://schemas.openxmlformats.org/drawingml/2006/picture">
                <pic:pic>
                  <pic:nvPicPr>
                    <pic:cNvPr descr="../assets/photo-Hama-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897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Wattar Frères No. 58. Unknown photographer. Hama (Syrie) - Grand Pont du Fleuve El-Assi. Alep: Wattar Frères (N.D.).</w:t>
      </w:r>
    </w:p>
    <w:p>
      <w:pPr>
        <w:pStyle w:val="CaptionedFigure"/>
      </w:pPr>
      <w:r>
        <w:drawing>
          <wp:inline>
            <wp:extent cx="3108960" cy="2063495"/>
            <wp:effectExtent b="0" l="0" r="0" t="0"/>
            <wp:docPr descr="Wattar Frères No. 62. Unknown photographer. HAMA (Syrie) — Vue du Serail. Alep: Wattar Frères, 1922." title="" id="1" name="Picture"/>
            <a:graphic>
              <a:graphicData uri="http://schemas.openxmlformats.org/drawingml/2006/picture">
                <pic:pic>
                  <pic:nvPicPr>
                    <pic:cNvPr descr="../assets/photo-Hama-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063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Wattar Frères No. 62. Unknown photographer. HAMA (Syrie) — Vue du Serail. Alep: Wattar Frères, 1922.</w:t>
      </w:r>
    </w:p>
    <w:p>
      <w:pPr>
        <w:pStyle w:val="Heading2"/>
      </w:pPr>
      <w:bookmarkStart w:id="34" w:name="food-riot-in-hama-11-august-1910-2"/>
      <w:r>
        <w:t xml:space="preserve">1.1 Food riot in Hama, 11 August 1910</w:t>
      </w:r>
      <w:bookmarkEnd w:id="34"/>
    </w:p>
    <w:p>
      <w:pPr>
        <w:pStyle w:val="CaptionedFigure"/>
      </w:pPr>
      <w:r>
        <w:drawing>
          <wp:inline>
            <wp:extent cx="5969000" cy="4401525"/>
            <wp:effectExtent b="0" l="0" r="0" t="0"/>
            <wp:docPr descr="[Vues Aériennes de Syrie et du Liban] / 39e Régiment D’aviation [Armée du Levant]. Photography by G. David, Loquinaire and L. Piat. N.Pl.: Établissement cinématographique et photographique des armées (France). 1927, G130863 http://gallica.bnf.fr/ark:/12148/btv1b8443060c/f14.item" title="" id="1" name="Picture"/>
            <a:graphic>
              <a:graphicData uri="http://schemas.openxmlformats.org/drawingml/2006/picture">
                <pic:pic>
                  <pic:nvPicPr>
                    <pic:cNvPr descr="../assets/photo-Hama-G1308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401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i/>
        </w:rPr>
        <w:t xml:space="preserve">[Vues Aériennes de Syrie et du Liban] / 39e Régiment D’aviation [Armée du Levant].</w:t>
      </w:r>
      <w:r>
        <w:t xml:space="preserve"> </w:t>
      </w:r>
      <w:r>
        <w:t xml:space="preserve">Photography by G. David, Loquinaire and L. Piat. N.Pl.: Établissement cinématographique et photographique des armées (France). 1927, G130863</w:t>
      </w:r>
      <w:r>
        <w:t xml:space="preserve"> </w:t>
      </w:r>
      <w:hyperlink r:id="rId36">
        <w:r>
          <w:rPr>
            <w:rStyle w:val="Hyperlink"/>
          </w:rPr>
          <w:t xml:space="preserve">http://gallica.bnf.fr/ark:/12148/btv1b8443060c/f14.item</w:t>
        </w:r>
      </w:hyperlink>
    </w:p>
    <w:p>
      <w:pPr>
        <w:pStyle w:val="Heading2"/>
      </w:pPr>
      <w:bookmarkStart w:id="37" w:name="first-observations"/>
      <w:r>
        <w:t xml:space="preserve">1.2 First observations</w:t>
      </w:r>
      <w:bookmarkEnd w:id="37"/>
    </w:p>
    <w:p>
      <w:pPr>
        <w:pStyle w:val="Compact"/>
        <w:numPr>
          <w:numId w:val="1002"/>
          <w:ilvl w:val="0"/>
        </w:numPr>
      </w:pPr>
      <w:r>
        <w:t xml:space="preserve">there is no or at least no immediate looting</w:t>
      </w:r>
    </w:p>
    <w:p>
      <w:pPr>
        <w:pStyle w:val="Compact"/>
        <w:numPr>
          <w:numId w:val="1002"/>
          <w:ilvl w:val="0"/>
        </w:numPr>
      </w:pPr>
      <w:r>
        <w:t xml:space="preserve">crowds address the political authorities, predominantly peacefully</w:t>
      </w:r>
    </w:p>
    <w:p>
      <w:pPr>
        <w:pStyle w:val="Compact"/>
        <w:numPr>
          <w:numId w:val="1002"/>
          <w:ilvl w:val="0"/>
        </w:numPr>
      </w:pPr>
      <w:r>
        <w:t xml:space="preserve">crowds gather at central places, i.e. on the streets and in front of the seat of the political authorities</w:t>
      </w:r>
    </w:p>
    <w:p>
      <w:pPr>
        <w:pStyle w:val="Compact"/>
        <w:numPr>
          <w:numId w:val="1002"/>
          <w:ilvl w:val="0"/>
        </w:numPr>
      </w:pPr>
      <w:r>
        <w:t xml:space="preserve">women are a (substantial) part of the protests</w:t>
      </w:r>
    </w:p>
    <w:p>
      <w:pPr>
        <w:pStyle w:val="Heading1"/>
      </w:pPr>
      <w:bookmarkStart w:id="38" w:name="question-and-methodology"/>
      <w:r>
        <w:t xml:space="preserve">2. Question and methodology</w:t>
      </w:r>
      <w:bookmarkEnd w:id="38"/>
    </w:p>
    <w:p>
      <w:pPr>
        <w:pStyle w:val="Heading2"/>
      </w:pPr>
      <w:bookmarkStart w:id="39" w:name="research-question"/>
      <w:r>
        <w:t xml:space="preserve">2.1 Research question</w:t>
      </w:r>
      <w:bookmarkEnd w:id="39"/>
    </w:p>
    <w:p>
      <w:pPr>
        <w:pStyle w:val="Compact"/>
        <w:numPr>
          <w:numId w:val="1003"/>
          <w:ilvl w:val="0"/>
        </w:numPr>
      </w:pPr>
      <w:r>
        <w:t xml:space="preserve">What is the</w:t>
      </w:r>
      <w:r>
        <w:t xml:space="preserve"> </w:t>
      </w:r>
      <w:r>
        <w:rPr>
          <w:b/>
        </w:rPr>
        <w:t xml:space="preserve">function</w:t>
      </w:r>
      <w:r>
        <w:t xml:space="preserve"> </w:t>
      </w:r>
      <w:r>
        <w:t xml:space="preserve">of food riots—immediate remedy for hunger, lower and stable bread prices in the long term, political change?</w:t>
      </w:r>
    </w:p>
    <w:p>
      <w:pPr>
        <w:pStyle w:val="Compact"/>
        <w:numPr>
          <w:numId w:val="1003"/>
          <w:ilvl w:val="0"/>
        </w:numPr>
      </w:pPr>
      <w:r>
        <w:t xml:space="preserve">What are the</w:t>
      </w:r>
      <w:r>
        <w:t xml:space="preserve"> </w:t>
      </w:r>
      <w:r>
        <w:rPr>
          <w:b/>
        </w:rPr>
        <w:t xml:space="preserve">implications</w:t>
      </w:r>
      <w:r>
        <w:t xml:space="preserve"> </w:t>
      </w:r>
      <w:r>
        <w:t xml:space="preserve">of food riots for the study of Middle Eastern societies?</w:t>
      </w:r>
    </w:p>
    <w:p>
      <w:pPr>
        <w:pStyle w:val="Heading2"/>
      </w:pPr>
      <w:bookmarkStart w:id="40" w:name="methodology"/>
      <w:r>
        <w:t xml:space="preserve">2.2 Methodology</w:t>
      </w:r>
      <w:bookmarkEnd w:id="40"/>
    </w:p>
    <w:p>
      <w:pPr>
        <w:pStyle w:val="Compact"/>
        <w:numPr>
          <w:numId w:val="1004"/>
          <w:ilvl w:val="0"/>
        </w:numPr>
      </w:pPr>
      <w:r>
        <w:t xml:space="preserve">Capture and analysis of economic data on food prices</w:t>
      </w:r>
    </w:p>
    <w:p>
      <w:pPr>
        <w:pStyle w:val="Compact"/>
        <w:numPr>
          <w:numId w:val="1004"/>
          <w:ilvl w:val="0"/>
        </w:numPr>
      </w:pPr>
      <w:r>
        <w:t xml:space="preserve">Detailed case studies on individual food riots</w:t>
      </w:r>
    </w:p>
    <w:p>
      <w:pPr>
        <w:pStyle w:val="Compact"/>
        <w:numPr>
          <w:numId w:val="1004"/>
          <w:ilvl w:val="0"/>
        </w:numPr>
      </w:pPr>
      <w:r>
        <w:t xml:space="preserve">Systematic analysis of all food riots as part of a</w:t>
      </w:r>
      <w:r>
        <w:t xml:space="preserve"> </w:t>
      </w:r>
      <w:r>
        <w:t xml:space="preserve">“</w:t>
      </w:r>
      <w:r>
        <w:t xml:space="preserve">repertoire of contention</w:t>
      </w:r>
      <w:r>
        <w:t xml:space="preserve">”</w:t>
      </w:r>
    </w:p>
    <w:p>
      <w:pPr>
        <w:pStyle w:val="Heading2"/>
      </w:pPr>
      <w:bookmarkStart w:id="41" w:name="sources"/>
      <w:r>
        <w:t xml:space="preserve">2.3 Sources</w:t>
      </w:r>
      <w:bookmarkEnd w:id="41"/>
    </w:p>
    <w:p>
      <w:pPr>
        <w:pStyle w:val="Compact"/>
        <w:numPr>
          <w:numId w:val="1005"/>
          <w:ilvl w:val="0"/>
        </w:numPr>
      </w:pPr>
      <w:r>
        <w:t xml:space="preserve">Local newspapers and periodicals</w:t>
      </w:r>
    </w:p>
    <w:p>
      <w:pPr>
        <w:pStyle w:val="Compact"/>
        <w:numPr>
          <w:numId w:val="1005"/>
          <w:ilvl w:val="0"/>
        </w:numPr>
      </w:pPr>
      <w:r>
        <w:t xml:space="preserve">Consular reports</w:t>
      </w:r>
    </w:p>
    <w:p>
      <w:pPr>
        <w:pStyle w:val="Compact"/>
        <w:numPr>
          <w:numId w:val="1005"/>
          <w:ilvl w:val="0"/>
        </w:numPr>
      </w:pPr>
      <w:r>
        <w:t xml:space="preserve">Ottoman archival documents</w:t>
      </w:r>
    </w:p>
    <w:p>
      <w:pPr>
        <w:pStyle w:val="Compact"/>
        <w:numPr>
          <w:numId w:val="1005"/>
          <w:ilvl w:val="0"/>
        </w:numPr>
      </w:pPr>
      <w:r>
        <w:t xml:space="preserve">First person accounts</w:t>
      </w:r>
    </w:p>
    <w:p>
      <w:pPr>
        <w:pStyle w:val="Heading2"/>
      </w:pPr>
      <w:bookmarkStart w:id="42" w:name="sources-newspapers"/>
      <w:r>
        <w:t xml:space="preserve">2.3 Sources: newspapers</w:t>
      </w:r>
      <w:bookmarkEnd w:id="42"/>
    </w:p>
    <w:p>
      <w:pPr>
        <w:pStyle w:val="Compact"/>
        <w:numPr>
          <w:numId w:val="1006"/>
          <w:ilvl w:val="0"/>
        </w:numPr>
      </w:pPr>
      <w:r>
        <w:t xml:space="preserve">state of collections</w:t>
      </w:r>
    </w:p>
    <w:p>
      <w:pPr>
        <w:pStyle w:val="Compact"/>
        <w:numPr>
          <w:numId w:val="1006"/>
          <w:ilvl w:val="0"/>
        </w:numPr>
      </w:pPr>
      <w:r>
        <w:t xml:space="preserve">mode of production</w:t>
      </w:r>
    </w:p>
    <w:p>
      <w:pPr>
        <w:pStyle w:val="Compact"/>
      </w:pPr>
      <w:r>
        <w:drawing>
          <wp:inline>
            <wp:extent cx="5461000" cy="10363200"/>
            <wp:effectExtent b="0" l="0" r="0" t="0"/>
            <wp:docPr descr="al-Muqtabas #1813, 1 Feb 1916: reporting a “food riot” in Damascus?" title="" id="1" name="Picture"/>
            <a:graphic>
              <a:graphicData uri="http://schemas.openxmlformats.org/drawingml/2006/picture">
                <pic:pic>
                  <pic:nvPicPr>
                    <pic:cNvPr descr="../assets/muqtabas-18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1036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drawing>
          <wp:inline>
            <wp:extent cx="5613400" cy="5715000"/>
            <wp:effectExtent b="0" l="0" r="0" t="0"/>
            <wp:docPr descr="al-Muqtabas #1837, 1 Mar 1916: reporting a “food riot” in Damascus?" title="" id="1" name="Picture"/>
            <a:graphic>
              <a:graphicData uri="http://schemas.openxmlformats.org/drawingml/2006/picture">
                <pic:pic>
                  <pic:nvPicPr>
                    <pic:cNvPr descr="../assets/muqtabas-18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sample"/>
      <w:r>
        <w:t xml:space="preserve">2.4 Sample</w:t>
      </w:r>
      <w:bookmarkEnd w:id="45"/>
    </w:p>
    <w:p>
      <w:pPr>
        <w:pStyle w:val="Compact"/>
        <w:numPr>
          <w:numId w:val="1008"/>
          <w:ilvl w:val="1"/>
        </w:numPr>
      </w:pPr>
      <w:r>
        <w:t xml:space="preserve">600 price observations for cereals and bread</w:t>
      </w:r>
    </w:p>
    <w:p>
      <w:pPr>
        <w:pStyle w:val="Compact"/>
        <w:numPr>
          <w:numId w:val="1009"/>
          <w:ilvl w:val="1"/>
        </w:numPr>
      </w:pPr>
      <w:r>
        <w:t xml:space="preserve">400 qualitative statements on food prices</w:t>
      </w:r>
    </w:p>
    <w:p>
      <w:pPr>
        <w:pStyle w:val="Compact"/>
        <w:numPr>
          <w:numId w:val="1007"/>
          <w:ilvl w:val="0"/>
        </w:numPr>
      </w:pPr>
      <w:r>
        <w:t xml:space="preserve">19 food riots between 1875 and 1920 in Aleppo, Beirut, Damascus, Hama, Homs, Jaffa, and Jerusalem</w:t>
      </w:r>
      <w:r>
        <w:t xml:space="preserve"> </w:t>
      </w:r>
    </w:p>
    <w:p>
      <w:pPr>
        <w:pStyle w:val="FirstParagraph"/>
      </w:pPr>
      <w:r>
        <w:drawing>
          <wp:inline>
            <wp:extent cx="5969000" cy="37984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assets/map_food-riots-1874-19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798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47" w:name="first-results-and-argument"/>
      <w:r>
        <w:t xml:space="preserve">3. First results and argument</w:t>
      </w:r>
      <w:bookmarkEnd w:id="47"/>
    </w:p>
    <w:p>
      <w:pPr>
        <w:pStyle w:val="Heading2"/>
      </w:pPr>
      <w:bookmarkStart w:id="48" w:name="empirical-results"/>
      <w:r>
        <w:t xml:space="preserve">3.1 Empirical results</w:t>
      </w:r>
      <w:bookmarkEnd w:id="48"/>
    </w:p>
    <w:p>
      <w:pPr>
        <w:pStyle w:val="Compact"/>
        <w:numPr>
          <w:numId w:val="1010"/>
          <w:ilvl w:val="0"/>
        </w:numPr>
      </w:pPr>
      <w:r>
        <w:t xml:space="preserve">There is no direct causal relation between food riots and food prices</w:t>
      </w:r>
    </w:p>
    <w:p>
      <w:pPr>
        <w:pStyle w:val="Compact"/>
        <w:numPr>
          <w:numId w:val="1010"/>
          <w:ilvl w:val="0"/>
        </w:numPr>
      </w:pPr>
      <w:r>
        <w:t xml:space="preserve">Food riots are a relatively stable</w:t>
      </w:r>
      <w:r>
        <w:t xml:space="preserve"> </w:t>
      </w:r>
      <w:r>
        <w:t xml:space="preserve">“</w:t>
      </w:r>
      <w:r>
        <w:t xml:space="preserve">repertoire of contention</w:t>
      </w:r>
      <w:r>
        <w:t xml:space="preserve">”</w:t>
      </w:r>
      <w:r>
        <w:t xml:space="preserve"> </w:t>
      </w:r>
      <w:r>
        <w:t xml:space="preserve">and take the form of a demonstration</w:t>
      </w:r>
    </w:p>
    <w:p>
      <w:pPr>
        <w:pStyle w:val="Heading2"/>
      </w:pPr>
      <w:bookmarkStart w:id="49" w:name="food-prices-and-food-riots"/>
      <w:r>
        <w:t xml:space="preserve">Food prices and food riots</w:t>
      </w:r>
      <w:bookmarkEnd w:id="49"/>
    </w:p>
    <w:p>
      <w:pPr>
        <w:pStyle w:val="FirstParagraph"/>
      </w:pPr>
      <w:r>
        <w:drawing>
          <wp:inline>
            <wp:extent cx="5969000" cy="238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assets/rplot_prices-wheat-1874-1916_box-pl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69000" cy="55710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assets/rplot_prices-wheat-1874-1916_annual-cycle-box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5571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69000" cy="1193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assets/rplot_prices-wheat-1874-1916_trend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argument"/>
      <w:r>
        <w:t xml:space="preserve">3.2</w:t>
      </w:r>
      <w:r>
        <w:t xml:space="preserve"> </w:t>
      </w:r>
      <w:r>
        <w:t xml:space="preserve"> </w:t>
      </w:r>
      <w:r>
        <w:t xml:space="preserve">argument</w:t>
      </w:r>
      <w:bookmarkEnd w:id="53"/>
    </w:p>
    <w:p>
      <w:pPr>
        <w:pStyle w:val="Compact"/>
        <w:numPr>
          <w:numId w:val="1011"/>
          <w:ilvl w:val="0"/>
        </w:numPr>
      </w:pPr>
      <w:r>
        <w:t xml:space="preserve">There is no direct causal relation between food prices and food riots</w:t>
      </w:r>
    </w:p>
    <w:p>
      <w:pPr>
        <w:pStyle w:val="Compact"/>
        <w:numPr>
          <w:numId w:val="1011"/>
          <w:ilvl w:val="0"/>
        </w:numPr>
      </w:pPr>
      <w:r>
        <w:t xml:space="preserve">Food riots are a</w:t>
      </w:r>
      <w:r>
        <w:t xml:space="preserve"> </w:t>
      </w:r>
      <w:r>
        <w:rPr>
          <w:b/>
        </w:rPr>
        <w:t xml:space="preserve">tactic</w:t>
      </w:r>
      <w:r>
        <w:t xml:space="preserve"> </w:t>
      </w:r>
      <w:r>
        <w:t xml:space="preserve">choice on behalf of the protestors and an</w:t>
      </w:r>
      <w:r>
        <w:t xml:space="preserve"> </w:t>
      </w:r>
      <w:r>
        <w:rPr>
          <w:b/>
        </w:rPr>
        <w:t xml:space="preserve">inherently political</w:t>
      </w:r>
      <w:r>
        <w:t xml:space="preserve"> </w:t>
      </w:r>
      <w:r>
        <w:t xml:space="preserve">act</w:t>
      </w:r>
    </w:p>
    <w:p>
      <w:pPr>
        <w:pStyle w:val="Compact"/>
        <w:numPr>
          <w:numId w:val="1011"/>
          <w:ilvl w:val="0"/>
        </w:numPr>
      </w:pPr>
      <w:r>
        <w:t xml:space="preserve">Food riots are part of a relatively stable</w:t>
      </w:r>
      <w:r>
        <w:t xml:space="preserve"> </w:t>
      </w:r>
      <w:r>
        <w:t xml:space="preserve">“</w:t>
      </w:r>
      <w:r>
        <w:t xml:space="preserve">repertoire of contention</w:t>
      </w:r>
      <w:r>
        <w:t xml:space="preserve">”</w:t>
      </w:r>
      <w:r>
        <w:t xml:space="preserve"> </w:t>
      </w:r>
      <w:r>
        <w:t xml:space="preserve">(C. Tilly) and a symbolic repertoire</w:t>
      </w:r>
    </w:p>
    <w:p>
      <w:pPr>
        <w:pStyle w:val="Compact"/>
        <w:numPr>
          <w:numId w:val="1011"/>
          <w:ilvl w:val="0"/>
        </w:numPr>
      </w:pPr>
      <w:r>
        <w:t xml:space="preserve">The main target of this conscious political</w:t>
      </w:r>
      <w:r>
        <w:t xml:space="preserve"> </w:t>
      </w:r>
      <w:r>
        <w:rPr>
          <w:b/>
        </w:rPr>
        <w:t xml:space="preserve">tactic</w:t>
      </w:r>
      <w:r>
        <w:t xml:space="preserve"> </w:t>
      </w:r>
      <w:r>
        <w:t xml:space="preserve">are the ruling authorities; protestors call for</w:t>
      </w:r>
      <w:r>
        <w:t xml:space="preserve"> </w:t>
      </w:r>
      <w:r>
        <w:rPr>
          <w:b/>
        </w:rPr>
        <w:t xml:space="preserve">equitable distribution</w:t>
      </w:r>
      <w:r>
        <w:t xml:space="preserve"> </w:t>
      </w:r>
      <w:r>
        <w:t xml:space="preserve">and</w:t>
      </w:r>
      <w:r>
        <w:t xml:space="preserve"> </w:t>
      </w:r>
      <w:r>
        <w:rPr>
          <w:b/>
        </w:rPr>
        <w:t xml:space="preserve">fair access</w:t>
      </w:r>
      <w:r>
        <w:t xml:space="preserve"> </w:t>
      </w:r>
      <w:r>
        <w:t xml:space="preserve">to</w:t>
      </w:r>
      <w:r>
        <w:t xml:space="preserve"> </w:t>
      </w:r>
      <w:r>
        <w:rPr>
          <w:b/>
        </w:rPr>
        <w:t xml:space="preserve">available bread</w:t>
      </w:r>
      <w:r>
        <w:t xml:space="preserve">.</w:t>
      </w:r>
    </w:p>
    <w:p>
      <w:pPr>
        <w:pStyle w:val="Compact"/>
        <w:numPr>
          <w:numId w:val="1011"/>
          <w:ilvl w:val="0"/>
        </w:numPr>
      </w:pPr>
      <w:r>
        <w:t xml:space="preserve">Food riots are thus part of the negotiations over political legitimacy</w:t>
      </w:r>
      <w:r>
        <w:t xml:space="preserve"> </w:t>
      </w:r>
      <w:r>
        <w:rPr>
          <w:b/>
        </w:rPr>
        <w:t xml:space="preserve">within</w:t>
      </w:r>
      <w:r>
        <w:t xml:space="preserve"> </w:t>
      </w:r>
      <w:r>
        <w:t xml:space="preserve">the existing political order as based in</w:t>
      </w:r>
      <w:r>
        <w:t xml:space="preserve"> </w:t>
      </w:r>
      <w:r>
        <w:rPr>
          <w:b/>
        </w:rPr>
        <w:t xml:space="preserve">just rule</w:t>
      </w:r>
      <w:r>
        <w:t xml:space="preserve">,</w:t>
      </w:r>
      <w:r>
        <w:t xml:space="preserve"> </w:t>
      </w:r>
      <w:r>
        <w:rPr>
          <w:b/>
        </w:rPr>
        <w:t xml:space="preserve">safety of life</w:t>
      </w:r>
      <w:r>
        <w:t xml:space="preserve">, etc. The demands are conservative and principally recognised as legitimate</w:t>
      </w:r>
    </w:p>
    <w:p>
      <w:pPr>
        <w:pStyle w:val="Heading1"/>
      </w:pPr>
      <w:bookmarkStart w:id="54" w:name="repertoire-of-contention"/>
      <w:r>
        <w:t xml:space="preserve">4. Repertoire of contention</w:t>
      </w:r>
      <w:bookmarkEnd w:id="54"/>
    </w:p>
    <w:p>
      <w:pPr>
        <w:pStyle w:val="Heading2"/>
      </w:pPr>
      <w:bookmarkStart w:id="55" w:name="prologue-weeks"/>
      <w:r>
        <w:t xml:space="preserve">4.1 Prologue (weeks)</w:t>
      </w:r>
      <w:bookmarkEnd w:id="55"/>
    </w:p>
    <w:p>
      <w:pPr>
        <w:pStyle w:val="Compact"/>
        <w:numPr>
          <w:numId w:val="1012"/>
          <w:ilvl w:val="0"/>
        </w:numPr>
      </w:pPr>
      <w:r>
        <w:t xml:space="preserve">Period of</w:t>
      </w:r>
      <w:r>
        <w:t xml:space="preserve"> </w:t>
      </w:r>
      <w:r>
        <w:rPr>
          <w:b/>
        </w:rPr>
        <w:t xml:space="preserve">artificially</w:t>
      </w:r>
      <w:r>
        <w:t xml:space="preserve"> </w:t>
      </w:r>
      <w:r>
        <w:t xml:space="preserve">high prices</w:t>
      </w:r>
    </w:p>
    <w:p>
      <w:pPr>
        <w:pStyle w:val="Compact"/>
        <w:numPr>
          <w:numId w:val="1012"/>
          <w:ilvl w:val="0"/>
        </w:numPr>
      </w:pPr>
      <w:r>
        <w:t xml:space="preserve">Advantageous moment</w:t>
      </w:r>
    </w:p>
    <w:p>
      <w:pPr>
        <w:pStyle w:val="Heading2"/>
      </w:pPr>
      <w:bookmarkStart w:id="56" w:name="the-food-riot-few-hours-a-day"/>
      <w:r>
        <w:t xml:space="preserve">4.2 the food</w:t>
      </w:r>
      <w:r>
        <w:t xml:space="preserve"> </w:t>
      </w:r>
      <w:r>
        <w:t xml:space="preserve">“</w:t>
      </w:r>
      <w:r>
        <w:t xml:space="preserve">riot</w:t>
      </w:r>
      <w:r>
        <w:t xml:space="preserve">”</w:t>
      </w:r>
      <w:r>
        <w:t xml:space="preserve"> </w:t>
      </w:r>
      <w:r>
        <w:t xml:space="preserve">(few hours, a day)</w:t>
      </w:r>
      <w:bookmarkEnd w:id="56"/>
    </w:p>
    <w:p>
      <w:pPr>
        <w:pStyle w:val="Compact"/>
        <w:numPr>
          <w:numId w:val="1013"/>
          <w:ilvl w:val="0"/>
        </w:numPr>
      </w:pPr>
      <w:r>
        <w:t xml:space="preserve">A crowd of poor people—men, women and children—gathers</w:t>
      </w:r>
    </w:p>
    <w:p>
      <w:pPr>
        <w:pStyle w:val="Compact"/>
        <w:numPr>
          <w:numId w:val="1013"/>
          <w:ilvl w:val="0"/>
        </w:numPr>
      </w:pPr>
      <w:r>
        <w:t xml:space="preserve">The crowd marches onto the seat of the local government and peacefully raises its demand for affordable bread and grain</w:t>
      </w:r>
    </w:p>
    <w:p>
      <w:pPr>
        <w:pStyle w:val="Compact"/>
        <w:numPr>
          <w:numId w:val="1013"/>
          <w:ilvl w:val="0"/>
        </w:numPr>
      </w:pPr>
      <w:r>
        <w:t xml:space="preserve">The crowd is violently dispersed / a combination of promises and threats leads the crowd to dissolve. Original failure of the authorities leads to further escalation.</w:t>
      </w:r>
    </w:p>
    <w:p>
      <w:pPr>
        <w:pStyle w:val="Compact"/>
        <w:numPr>
          <w:numId w:val="1013"/>
          <w:ilvl w:val="0"/>
        </w:numPr>
      </w:pPr>
      <w:r>
        <w:t xml:space="preserve">(optional) The crowds turn on merchants and loot warehouses, stores, and railway stations</w:t>
      </w:r>
    </w:p>
    <w:p>
      <w:pPr>
        <w:pStyle w:val="Compact"/>
        <w:numPr>
          <w:numId w:val="1013"/>
          <w:ilvl w:val="0"/>
        </w:numPr>
      </w:pPr>
      <w:r>
        <w:t xml:space="preserve">Successful intervention of the highest representative of the central authorities with the help of imperial troops</w:t>
      </w:r>
    </w:p>
    <w:p>
      <w:pPr>
        <w:pStyle w:val="Heading2"/>
      </w:pPr>
      <w:bookmarkStart w:id="57" w:name="aftermath-weeks-and-months"/>
      <w:r>
        <w:t xml:space="preserve">4.3 Aftermath (weeks and months)</w:t>
      </w:r>
      <w:bookmarkEnd w:id="57"/>
    </w:p>
    <w:p>
      <w:pPr>
        <w:pStyle w:val="Compact"/>
        <w:numPr>
          <w:numId w:val="1014"/>
          <w:ilvl w:val="0"/>
        </w:numPr>
      </w:pPr>
      <w:r>
        <w:t xml:space="preserve">Intervention from the highest representative of the central authorities</w:t>
      </w:r>
    </w:p>
    <w:p>
      <w:pPr>
        <w:pStyle w:val="Compact"/>
        <w:numPr>
          <w:numId w:val="1014"/>
          <w:ilvl w:val="0"/>
        </w:numPr>
      </w:pPr>
      <w:r>
        <w:t xml:space="preserve">No reports on falling grain prices.</w:t>
      </w:r>
      <w:r>
        <w:t xml:space="preserve"> </w:t>
      </w:r>
    </w:p>
    <w:p>
      <w:pPr>
        <w:pStyle w:val="Heading1"/>
      </w:pPr>
      <w:bookmarkStart w:id="58" w:name="conclusion"/>
      <w:r>
        <w:t xml:space="preserve">5. Conclusion</w:t>
      </w:r>
      <w:bookmarkEnd w:id="58"/>
    </w:p>
    <w:p>
      <w:pPr>
        <w:pStyle w:val="Heading2"/>
      </w:pPr>
      <w:bookmarkStart w:id="59" w:name="summary"/>
      <w:r>
        <w:t xml:space="preserve">5.1 Summary</w:t>
      </w:r>
      <w:bookmarkEnd w:id="59"/>
    </w:p>
    <w:p>
      <w:pPr>
        <w:pStyle w:val="Compact"/>
        <w:numPr>
          <w:numId w:val="1015"/>
          <w:ilvl w:val="0"/>
        </w:numPr>
      </w:pPr>
      <w:r>
        <w:t xml:space="preserve">Contrary to common arguments and presumptions, we find a long</w:t>
      </w:r>
      <w:r>
        <w:t xml:space="preserve"> </w:t>
      </w:r>
      <w:r>
        <w:t xml:space="preserve">“</w:t>
      </w:r>
      <w:r>
        <w:t xml:space="preserve">tradition</w:t>
      </w:r>
      <w:r>
        <w:t xml:space="preserve">”</w:t>
      </w:r>
      <w:r>
        <w:t xml:space="preserve"> </w:t>
      </w:r>
      <w:r>
        <w:t xml:space="preserve">of popular contentions in general and food</w:t>
      </w:r>
      <w:r>
        <w:t xml:space="preserve"> </w:t>
      </w:r>
      <w:r>
        <w:t xml:space="preserve">“</w:t>
      </w:r>
      <w:r>
        <w:t xml:space="preserve">riots</w:t>
      </w:r>
      <w:r>
        <w:t xml:space="preserve">”</w:t>
      </w:r>
      <w:r>
        <w:t xml:space="preserve"> </w:t>
      </w:r>
      <w:r>
        <w:t xml:space="preserve">in particular as well as female agency in genuinely political struggles in public places / space.</w:t>
      </w:r>
    </w:p>
    <w:p>
      <w:pPr>
        <w:pStyle w:val="Compact"/>
        <w:numPr>
          <w:numId w:val="1015"/>
          <w:ilvl w:val="0"/>
        </w:numPr>
      </w:pPr>
      <w:r>
        <w:t xml:space="preserve">There is no direct causal relation between food riots and food prices.</w:t>
      </w:r>
    </w:p>
    <w:p>
      <w:pPr>
        <w:pStyle w:val="Compact"/>
        <w:numPr>
          <w:numId w:val="1015"/>
          <w:ilvl w:val="0"/>
        </w:numPr>
      </w:pPr>
      <w:r>
        <w:t xml:space="preserve">Food riots are a relatively stable</w:t>
      </w:r>
      <w:r>
        <w:t xml:space="preserve"> </w:t>
      </w:r>
      <w:r>
        <w:t xml:space="preserve">“</w:t>
      </w:r>
      <w:r>
        <w:t xml:space="preserve">repertoire of contention</w:t>
      </w:r>
      <w:r>
        <w:t xml:space="preserve">”</w:t>
      </w:r>
      <w:r>
        <w:t xml:space="preserve">.</w:t>
      </w:r>
    </w:p>
    <w:p>
      <w:pPr>
        <w:pStyle w:val="Compact"/>
        <w:numPr>
          <w:numId w:val="1015"/>
          <w:ilvl w:val="0"/>
        </w:numPr>
      </w:pPr>
      <w:r>
        <w:t xml:space="preserve">Food riots are a</w:t>
      </w:r>
      <w:r>
        <w:t xml:space="preserve"> </w:t>
      </w:r>
      <w:r>
        <w:rPr>
          <w:b/>
        </w:rPr>
        <w:t xml:space="preserve">tactic</w:t>
      </w:r>
      <w:r>
        <w:t xml:space="preserve"> </w:t>
      </w:r>
      <w:r>
        <w:t xml:space="preserve">choice on behalf of the protestors and an inherently political act. They are part of the negotiations over political legitimacy</w:t>
      </w:r>
      <w:r>
        <w:t xml:space="preserve"> </w:t>
      </w:r>
      <w:r>
        <w:rPr>
          <w:b/>
        </w:rPr>
        <w:t xml:space="preserve">within</w:t>
      </w:r>
      <w:r>
        <w:t xml:space="preserve"> </w:t>
      </w:r>
      <w:r>
        <w:t xml:space="preserve">the existing political order as based in</w:t>
      </w:r>
      <w:r>
        <w:t xml:space="preserve"> </w:t>
      </w:r>
      <w:r>
        <w:rPr>
          <w:b/>
        </w:rPr>
        <w:t xml:space="preserve">just rule</w:t>
      </w:r>
      <w:r>
        <w:t xml:space="preserve">,</w:t>
      </w:r>
      <w:r>
        <w:t xml:space="preserve"> </w:t>
      </w:r>
      <w:r>
        <w:rPr>
          <w:b/>
        </w:rPr>
        <w:t xml:space="preserve">safety of life</w:t>
      </w:r>
    </w:p>
    <w:p>
      <w:pPr>
        <w:pStyle w:val="Heading2"/>
      </w:pPr>
      <w:bookmarkStart w:id="60" w:name="conclusion-open-questions"/>
      <w:r>
        <w:t xml:space="preserve">5.2 Conclusion: open questions</w:t>
      </w:r>
      <w:bookmarkEnd w:id="60"/>
    </w:p>
    <w:p>
      <w:pPr>
        <w:pStyle w:val="Compact"/>
        <w:numPr>
          <w:numId w:val="1016"/>
          <w:ilvl w:val="0"/>
        </w:numPr>
      </w:pPr>
      <w:r>
        <w:t xml:space="preserve">What about</w:t>
      </w:r>
      <w:r>
        <w:t xml:space="preserve"> </w:t>
      </w:r>
      <w:r>
        <w:rPr>
          <w:b/>
        </w:rPr>
        <w:t xml:space="preserve">dangerous classes</w:t>
      </w:r>
      <w:r>
        <w:t xml:space="preserve"> </w:t>
      </w:r>
      <w:r>
        <w:t xml:space="preserve">and the</w:t>
      </w:r>
      <w:r>
        <w:t xml:space="preserve"> </w:t>
      </w:r>
      <w:r>
        <w:rPr>
          <w:b/>
        </w:rPr>
        <w:t xml:space="preserve">lumpenproletariat</w:t>
      </w:r>
      <w:r>
        <w:t xml:space="preserve">?</w:t>
      </w:r>
    </w:p>
    <w:p>
      <w:pPr>
        <w:pStyle w:val="Compact"/>
        <w:numPr>
          <w:numId w:val="1016"/>
          <w:ilvl w:val="0"/>
        </w:numPr>
      </w:pPr>
      <w:r>
        <w:t xml:space="preserve">What are the</w:t>
      </w:r>
      <w:r>
        <w:t xml:space="preserve"> </w:t>
      </w:r>
      <w:r>
        <w:rPr>
          <w:b/>
        </w:rPr>
        <w:t xml:space="preserve">implications</w:t>
      </w:r>
      <w:r>
        <w:t xml:space="preserve"> </w:t>
      </w:r>
      <w:r>
        <w:t xml:space="preserve">of food riots for the study of Middle Eastern societies?</w:t>
      </w:r>
    </w:p>
    <w:sectPr w:rsidR="005C2A9E">
      <w:pgSz w:w="12240" w:h="15840"/>
      <w:pgMar w:top="1417" w:right="1417" w:bottom="1134" w:left="1417" w:header="720" w:footer="720" w:gutter="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58F65C3"/>
    <w:multiLevelType w:val="multilevel"/>
    <w:tmpl w:val="32D2FC2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02B67C7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FF897C63"/>
    <w:multiLevelType w:val="multilevel"/>
    <w:tmpl w:val="7EBA439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FFFFFF1D"/>
    <w:multiLevelType w:val="multilevel"/>
    <w:tmpl w:val="FA10C93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FFFFFF7C"/>
    <w:multiLevelType w:val="singleLevel"/>
    <w:tmpl w:val="3DEE2D5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5">
    <w:nsid w:val="FFFFFF7D"/>
    <w:multiLevelType w:val="singleLevel"/>
    <w:tmpl w:val="A0B0327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6">
    <w:nsid w:val="FFFFFF7E"/>
    <w:multiLevelType w:val="singleLevel"/>
    <w:tmpl w:val="458A0D9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7">
    <w:nsid w:val="FFFFFF7F"/>
    <w:multiLevelType w:val="singleLevel"/>
    <w:tmpl w:val="483C996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8">
    <w:nsid w:val="FFFFFF80"/>
    <w:multiLevelType w:val="singleLevel"/>
    <w:tmpl w:val="A42A5A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9">
    <w:nsid w:val="FFFFFF81"/>
    <w:multiLevelType w:val="singleLevel"/>
    <w:tmpl w:val="DAD0EF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0">
    <w:nsid w:val="FFFFFF82"/>
    <w:multiLevelType w:val="singleLevel"/>
    <w:tmpl w:val="A088FB6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1">
    <w:nsid w:val="FFFFFF83"/>
    <w:multiLevelType w:val="singleLevel"/>
    <w:tmpl w:val="FD2651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2">
    <w:nsid w:val="FFFFFF88"/>
    <w:multiLevelType w:val="singleLevel"/>
    <w:tmpl w:val="4BFC5A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>
    <w:nsid w:val="FFFFFF89"/>
    <w:multiLevelType w:val="singleLevel"/>
    <w:tmpl w:val="480C79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43D9FBE1"/>
    <w:multiLevelType w:val="multilevel"/>
    <w:tmpl w:val="8F68EBC4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713">
    <w:nsid w:val="47261bad"/>
    <w:multiLevelType w:val="multilevel"/>
    <w:lvl w:ilvl="0">
      <w:start w:val="3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4fbe019a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3"/>
  </w:num>
  <w:num w:numId="12">
    <w:abstractNumId w:val="4"/>
  </w:num>
  <w:num w:numId="13">
    <w:abstractNumId w:val="5"/>
  </w:num>
  <w:num w:numId="14">
    <w:abstractNumId w:val="6"/>
  </w:num>
  <w:num w:numId="15">
    <w:abstractNumId w:val="7"/>
  </w:num>
  <w:num w:numId="16">
    <w:abstractNumId w:val="12"/>
  </w:num>
  <w:num w:numId="17">
    <w:abstractNumId w:val="8"/>
  </w:num>
  <w:num w:numId="18">
    <w:abstractNumId w:val="9"/>
  </w:num>
  <w:num w:numId="19">
    <w:abstractNumId w:val="10"/>
  </w:num>
  <w:num w:numId="20">
    <w:abstractNumId w:val="11"/>
  </w:num>
  <w:num w:numId="21">
    <w:abstractNumId w:val="13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7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7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5">
    <w:abstractNumId w:val="991"/>
  </w:num>
  <w:num w:numId="101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0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5AF1"/>
    <w:pPr>
      <w:spacing w:before="60" w:after="60"/>
    </w:pPr>
    <w:rPr>
      <w:sz w:val="22"/>
    </w:rPr>
  </w:style>
  <w:style w:type="paragraph" w:styleId="Heading1">
    <w:name w:val="heading 1"/>
    <w:basedOn w:val="Normal"/>
    <w:next w:val="BodyText"/>
    <w:uiPriority w:val="9"/>
    <w:qFormat/>
    <w:rsid w:val="00A75AF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A75AF1"/>
    <w:pPr>
      <w:keepNext/>
      <w:keepLines/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A75AF1"/>
    <w:pPr>
      <w:keepNext/>
      <w:keepLines/>
      <w:spacing w:before="200" w:after="12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A35C99"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A35C99"/>
    <w:rPr>
      <w:sz w:val="18"/>
    </w:r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  <w:rsid w:val="00C8562C"/>
    <w:pPr>
      <w:jc w:val="right"/>
    </w:pPr>
    <w:rPr>
      <w:sz w:val="18"/>
    </w:rPr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sid w:val="00A75AF1"/>
    <w:rPr>
      <w:rFonts w:ascii="Courier New" w:hAnsi="Courier New"/>
      <w:sz w:val="20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rsid w:val="00A75AF1"/>
    <w:pPr>
      <w:wordWrap w:val="0"/>
      <w:spacing w:before="180" w:after="180"/>
    </w:pPr>
    <w:rPr>
      <w:rFonts w:ascii="Courier New" w:hAnsi="Courier New"/>
      <w:sz w:val="20"/>
    </w:rPr>
  </w:style>
  <w:style w:type="character" w:customStyle="1" w:styleId="KeywordTok">
    <w:name w:val="KeywordTok"/>
    <w:basedOn w:val="VerbatimChar"/>
    <w:rPr>
      <w:rFonts w:ascii="Courier New" w:hAnsi="Courier New"/>
      <w:b/>
      <w:color w:val="007020"/>
      <w:sz w:val="20"/>
    </w:rPr>
  </w:style>
  <w:style w:type="character" w:customStyle="1" w:styleId="DataTypeTok">
    <w:name w:val="DataTypeTok"/>
    <w:basedOn w:val="VerbatimChar"/>
    <w:rPr>
      <w:rFonts w:ascii="Courier New" w:hAnsi="Courier New"/>
      <w:color w:val="902000"/>
      <w:sz w:val="20"/>
    </w:rPr>
  </w:style>
  <w:style w:type="character" w:customStyle="1" w:styleId="DecValTok">
    <w:name w:val="DecValTok"/>
    <w:basedOn w:val="VerbatimChar"/>
    <w:rPr>
      <w:rFonts w:ascii="Courier New" w:hAnsi="Courier New"/>
      <w:color w:val="40A070"/>
      <w:sz w:val="20"/>
    </w:rPr>
  </w:style>
  <w:style w:type="character" w:customStyle="1" w:styleId="BaseNTok">
    <w:name w:val="BaseNTok"/>
    <w:basedOn w:val="VerbatimChar"/>
    <w:rPr>
      <w:rFonts w:ascii="Courier New" w:hAnsi="Courier New"/>
      <w:color w:val="40A070"/>
      <w:sz w:val="20"/>
    </w:rPr>
  </w:style>
  <w:style w:type="character" w:customStyle="1" w:styleId="FloatTok">
    <w:name w:val="FloatTok"/>
    <w:basedOn w:val="VerbatimChar"/>
    <w:rPr>
      <w:rFonts w:ascii="Courier New" w:hAnsi="Courier New"/>
      <w:color w:val="40A070"/>
      <w:sz w:val="20"/>
    </w:rPr>
  </w:style>
  <w:style w:type="character" w:customStyle="1" w:styleId="ConstantTok">
    <w:name w:val="ConstantTok"/>
    <w:basedOn w:val="VerbatimChar"/>
    <w:rPr>
      <w:rFonts w:ascii="Courier New" w:hAnsi="Courier New"/>
      <w:color w:val="880000"/>
      <w:sz w:val="20"/>
    </w:rPr>
  </w:style>
  <w:style w:type="character" w:customStyle="1" w:styleId="CharTok">
    <w:name w:val="CharTok"/>
    <w:basedOn w:val="VerbatimChar"/>
    <w:rPr>
      <w:rFonts w:ascii="Courier New" w:hAnsi="Courier New"/>
      <w:color w:val="4070A0"/>
      <w:sz w:val="20"/>
    </w:rPr>
  </w:style>
  <w:style w:type="character" w:customStyle="1" w:styleId="SpecialCharTok">
    <w:name w:val="SpecialCharTok"/>
    <w:basedOn w:val="VerbatimChar"/>
    <w:rPr>
      <w:rFonts w:ascii="Courier New" w:hAnsi="Courier New"/>
      <w:color w:val="4070A0"/>
      <w:sz w:val="20"/>
    </w:rPr>
  </w:style>
  <w:style w:type="character" w:customStyle="1" w:styleId="StringTok">
    <w:name w:val="StringTok"/>
    <w:basedOn w:val="VerbatimChar"/>
    <w:rPr>
      <w:rFonts w:ascii="Courier New" w:hAnsi="Courier New"/>
      <w:color w:val="4070A0"/>
      <w:sz w:val="20"/>
    </w:rPr>
  </w:style>
  <w:style w:type="character" w:customStyle="1" w:styleId="VerbatimStringTok">
    <w:name w:val="VerbatimStringTok"/>
    <w:basedOn w:val="VerbatimChar"/>
    <w:rPr>
      <w:rFonts w:ascii="Courier New" w:hAnsi="Courier New"/>
      <w:color w:val="4070A0"/>
      <w:sz w:val="20"/>
    </w:rPr>
  </w:style>
  <w:style w:type="character" w:customStyle="1" w:styleId="SpecialStringTok">
    <w:name w:val="SpecialStringTok"/>
    <w:basedOn w:val="VerbatimChar"/>
    <w:rPr>
      <w:rFonts w:ascii="Courier New" w:hAnsi="Courier New"/>
      <w:color w:val="BB6688"/>
      <w:sz w:val="20"/>
    </w:rPr>
  </w:style>
  <w:style w:type="character" w:customStyle="1" w:styleId="ImportTok">
    <w:name w:val="ImportTok"/>
    <w:basedOn w:val="VerbatimChar"/>
    <w:rPr>
      <w:rFonts w:ascii="Courier New" w:hAnsi="Courier New"/>
      <w:sz w:val="20"/>
    </w:rPr>
  </w:style>
  <w:style w:type="character" w:customStyle="1" w:styleId="CommentTok">
    <w:name w:val="CommentTok"/>
    <w:basedOn w:val="VerbatimChar"/>
    <w:rPr>
      <w:rFonts w:ascii="Courier New" w:hAnsi="Courier New"/>
      <w:i/>
      <w:color w:val="60A0B0"/>
      <w:sz w:val="20"/>
    </w:rPr>
  </w:style>
  <w:style w:type="character" w:customStyle="1" w:styleId="DocumentationTok">
    <w:name w:val="DocumentationTok"/>
    <w:basedOn w:val="VerbatimChar"/>
    <w:rPr>
      <w:rFonts w:ascii="Courier New" w:hAnsi="Courier New"/>
      <w:i/>
      <w:color w:val="BA2121"/>
      <w:sz w:val="20"/>
    </w:rPr>
  </w:style>
  <w:style w:type="character" w:customStyle="1" w:styleId="AnnotationTok">
    <w:name w:val="AnnotationTok"/>
    <w:basedOn w:val="VerbatimChar"/>
    <w:rPr>
      <w:rFonts w:ascii="Courier New" w:hAnsi="Courier New"/>
      <w:b/>
      <w:i/>
      <w:color w:val="60A0B0"/>
      <w:sz w:val="20"/>
    </w:rPr>
  </w:style>
  <w:style w:type="character" w:customStyle="1" w:styleId="CommentVarTok">
    <w:name w:val="CommentVarTok"/>
    <w:basedOn w:val="VerbatimChar"/>
    <w:rPr>
      <w:rFonts w:ascii="Courier New" w:hAnsi="Courier New"/>
      <w:b/>
      <w:i/>
      <w:color w:val="60A0B0"/>
      <w:sz w:val="20"/>
    </w:rPr>
  </w:style>
  <w:style w:type="character" w:customStyle="1" w:styleId="OtherTok">
    <w:name w:val="OtherTok"/>
    <w:basedOn w:val="VerbatimChar"/>
    <w:rPr>
      <w:rFonts w:ascii="Courier New" w:hAnsi="Courier New"/>
      <w:color w:val="007020"/>
      <w:sz w:val="20"/>
    </w:rPr>
  </w:style>
  <w:style w:type="character" w:customStyle="1" w:styleId="FunctionTok">
    <w:name w:val="FunctionTok"/>
    <w:basedOn w:val="VerbatimChar"/>
    <w:rPr>
      <w:rFonts w:ascii="Courier New" w:hAnsi="Courier New"/>
      <w:color w:val="06287E"/>
      <w:sz w:val="20"/>
    </w:rPr>
  </w:style>
  <w:style w:type="character" w:customStyle="1" w:styleId="VariableTok">
    <w:name w:val="VariableTok"/>
    <w:basedOn w:val="VerbatimChar"/>
    <w:rPr>
      <w:rFonts w:ascii="Courier New" w:hAnsi="Courier New"/>
      <w:color w:val="19177C"/>
      <w:sz w:val="20"/>
    </w:rPr>
  </w:style>
  <w:style w:type="character" w:customStyle="1" w:styleId="ControlFlowTok">
    <w:name w:val="ControlFlowTok"/>
    <w:basedOn w:val="VerbatimChar"/>
    <w:rPr>
      <w:rFonts w:ascii="Courier New" w:hAnsi="Courier New"/>
      <w:b/>
      <w:color w:val="007020"/>
      <w:sz w:val="20"/>
    </w:rPr>
  </w:style>
  <w:style w:type="character" w:customStyle="1" w:styleId="OperatorTok">
    <w:name w:val="OperatorTok"/>
    <w:basedOn w:val="VerbatimChar"/>
    <w:rPr>
      <w:rFonts w:ascii="Courier New" w:hAnsi="Courier New"/>
      <w:color w:val="666666"/>
      <w:sz w:val="20"/>
    </w:rPr>
  </w:style>
  <w:style w:type="character" w:customStyle="1" w:styleId="BuiltInTok">
    <w:name w:val="BuiltInTok"/>
    <w:basedOn w:val="VerbatimChar"/>
    <w:rPr>
      <w:rFonts w:ascii="Courier New" w:hAnsi="Courier New"/>
      <w:sz w:val="20"/>
    </w:rPr>
  </w:style>
  <w:style w:type="character" w:customStyle="1" w:styleId="ExtensionTok">
    <w:name w:val="ExtensionTok"/>
    <w:basedOn w:val="VerbatimChar"/>
    <w:rPr>
      <w:rFonts w:ascii="Courier New" w:hAnsi="Courier New"/>
      <w:sz w:val="20"/>
    </w:rPr>
  </w:style>
  <w:style w:type="character" w:customStyle="1" w:styleId="PreprocessorTok">
    <w:name w:val="PreprocessorTok"/>
    <w:basedOn w:val="VerbatimChar"/>
    <w:rPr>
      <w:rFonts w:ascii="Courier New" w:hAnsi="Courier New"/>
      <w:color w:val="BC7A00"/>
      <w:sz w:val="20"/>
    </w:rPr>
  </w:style>
  <w:style w:type="character" w:customStyle="1" w:styleId="AttributeTok">
    <w:name w:val="AttributeTok"/>
    <w:basedOn w:val="VerbatimChar"/>
    <w:rPr>
      <w:rFonts w:ascii="Courier New" w:hAnsi="Courier New"/>
      <w:color w:val="7D9029"/>
      <w:sz w:val="20"/>
    </w:rPr>
  </w:style>
  <w:style w:type="character" w:customStyle="1" w:styleId="RegionMarkerTok">
    <w:name w:val="RegionMarkerTok"/>
    <w:basedOn w:val="VerbatimChar"/>
    <w:rPr>
      <w:rFonts w:ascii="Courier New" w:hAnsi="Courier New"/>
      <w:sz w:val="20"/>
    </w:rPr>
  </w:style>
  <w:style w:type="character" w:customStyle="1" w:styleId="InformationTok">
    <w:name w:val="InformationTok"/>
    <w:basedOn w:val="VerbatimChar"/>
    <w:rPr>
      <w:rFonts w:ascii="Courier New" w:hAnsi="Courier New"/>
      <w:b/>
      <w:i/>
      <w:color w:val="60A0B0"/>
      <w:sz w:val="20"/>
    </w:rPr>
  </w:style>
  <w:style w:type="character" w:customStyle="1" w:styleId="WarningTok">
    <w:name w:val="WarningTok"/>
    <w:basedOn w:val="VerbatimChar"/>
    <w:rPr>
      <w:rFonts w:ascii="Courier New" w:hAnsi="Courier New"/>
      <w:b/>
      <w:i/>
      <w:color w:val="60A0B0"/>
      <w:sz w:val="20"/>
    </w:rPr>
  </w:style>
  <w:style w:type="character" w:customStyle="1" w:styleId="AlertTok">
    <w:name w:val="AlertTok"/>
    <w:basedOn w:val="VerbatimChar"/>
    <w:rPr>
      <w:rFonts w:ascii="Courier New" w:hAnsi="Courier New"/>
      <w:b/>
      <w:color w:val="FF0000"/>
      <w:sz w:val="20"/>
    </w:rPr>
  </w:style>
  <w:style w:type="character" w:customStyle="1" w:styleId="ErrorTok">
    <w:name w:val="ErrorTok"/>
    <w:basedOn w:val="VerbatimChar"/>
    <w:rPr>
      <w:rFonts w:ascii="Courier New" w:hAnsi="Courier New"/>
      <w:b/>
      <w:color w:val="FF0000"/>
      <w:sz w:val="20"/>
    </w:rPr>
  </w:style>
  <w:style w:type="character" w:customStyle="1" w:styleId="NormalTok">
    <w:name w:val="NormalTok"/>
    <w:basedOn w:val="VerbatimChar"/>
    <w:rPr>
      <w:rFonts w:ascii="Courier New" w:hAnsi="Courier New"/>
      <w:sz w:val="20"/>
    </w:rPr>
  </w:style>
  <w:style w:type="character" w:customStyle="1" w:styleId="BodyTextChar">
    <w:name w:val="Body Text Char"/>
    <w:basedOn w:val="DefaultParagraphFont"/>
    <w:link w:val="BodyText"/>
    <w:rsid w:val="00A35C99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jpg" /><Relationship Type="http://schemas.openxmlformats.org/officeDocument/2006/relationships/image" Id="rId28" Target="media/rId28.jpg" /><Relationship Type="http://schemas.openxmlformats.org/officeDocument/2006/relationships/image" Id="rId46" Target="media/rId46.png" /><Relationship Type="http://schemas.openxmlformats.org/officeDocument/2006/relationships/image" Id="rId43" Target="media/rId43.jpg" /><Relationship Type="http://schemas.openxmlformats.org/officeDocument/2006/relationships/image" Id="rId44" Target="media/rId44.jpg" /><Relationship Type="http://schemas.openxmlformats.org/officeDocument/2006/relationships/image" Id="rId33" Target="media/rId33.jpg" /><Relationship Type="http://schemas.openxmlformats.org/officeDocument/2006/relationships/image" Id="rId32" Target="media/rId32.jpg" /><Relationship Type="http://schemas.openxmlformats.org/officeDocument/2006/relationships/image" Id="rId35" Target="media/rId35.png" /><Relationship Type="http://schemas.openxmlformats.org/officeDocument/2006/relationships/image" Id="rId51" Target="media/rId51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hyperlink" Id="rId36" Target="http://gallica.bnf.fr/ark:/12148/btv1b8443060c/f14.item" TargetMode="External" /><Relationship Type="http://schemas.openxmlformats.org/officeDocument/2006/relationships/hyperlink" Id="rId23" Target="https://tillgrallert.github.io/Slides/name" TargetMode="External" /><Relationship Type="http://schemas.openxmlformats.org/officeDocument/2006/relationships/hyperlink" Id="rId24" Target="https://twitter.com/tillgrallert" TargetMode="External" /><Relationship Type="http://schemas.openxmlformats.org/officeDocument/2006/relationships/hyperlink" Id="rId25" Target="mailto:grallert@orient-institut.org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6" Target="http://gallica.bnf.fr/ark:/12148/btv1b8443060c/f14.item" TargetMode="External" /><Relationship Type="http://schemas.openxmlformats.org/officeDocument/2006/relationships/hyperlink" Id="rId23" Target="https://tillgrallert.github.io/Slides/name" TargetMode="External" /><Relationship Type="http://schemas.openxmlformats.org/officeDocument/2006/relationships/hyperlink" Id="rId24" Target="https://twitter.com/tillgrallert" TargetMode="External" /><Relationship Type="http://schemas.openxmlformats.org/officeDocument/2006/relationships/hyperlink" Id="rId25" Target="mailto:grallert@orient-institut.or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858</Words>
  <Characters>4894</Characters>
  <Application>Microsoft Macintosh Word</Application>
  <DocSecurity>0</DocSecurity>
  <Lines>40</Lines>
  <Paragraphs>11</Paragraphs>
  <ScaleCrop>false</ScaleCrop>
  <LinksUpToDate>false</LinksUpToDate>
  <CharactersWithSpaces>5741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Context</dc:title>
  <dc:creator>Till Grallert</dc:creator>
  <cp:keywords/>
  <dcterms:created xsi:type="dcterms:W3CDTF">2018-06-11T17:48:39Z</dcterms:created>
  <dcterms:modified xsi:type="dcterms:W3CDTF">2018-06-11T17:48:39Z</dcterms:modified>
</cp:coreProperties>
</file>